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F610" w14:textId="77777777" w:rsidR="00000000" w:rsidRPr="002858A0" w:rsidRDefault="00000000">
      <w:pPr>
        <w:jc w:val="center"/>
        <w:rPr>
          <w:rFonts w:ascii="Arial Narrow" w:hAnsi="Arial Narrow" w:cs="Calibri"/>
          <w:color w:val="0000FF"/>
          <w:sz w:val="24"/>
        </w:rPr>
      </w:pPr>
    </w:p>
    <w:p w14:paraId="3BB94E1C" w14:textId="77777777" w:rsidR="00000000" w:rsidRPr="002858A0" w:rsidRDefault="00000000">
      <w:pPr>
        <w:rPr>
          <w:rFonts w:ascii="Arial Narrow" w:hAnsi="Arial Narrow" w:cs="Calibri"/>
          <w:sz w:val="24"/>
        </w:rPr>
      </w:pPr>
    </w:p>
    <w:tbl>
      <w:tblPr>
        <w:tblW w:w="495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471"/>
        <w:gridCol w:w="2668"/>
        <w:gridCol w:w="5765"/>
        <w:gridCol w:w="2367"/>
        <w:gridCol w:w="1381"/>
        <w:gridCol w:w="1156"/>
        <w:gridCol w:w="996"/>
      </w:tblGrid>
      <w:tr w:rsidR="00000000" w:rsidRPr="002858A0" w14:paraId="77E22C7D" w14:textId="77777777" w:rsidTr="002858A0">
        <w:trPr>
          <w:tblHeader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F65D71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What are the hazards?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C6B86A6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Who might be harmed and how?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4197CE7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What are you already doing?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0D9614B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Do you need to do anything else to manage this risk?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E7636A4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Action by whom?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1AF47E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Action by when?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D224C9F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Done</w:t>
            </w:r>
          </w:p>
        </w:tc>
      </w:tr>
      <w:tr w:rsidR="00000000" w:rsidRPr="002858A0" w14:paraId="74E5BCB5" w14:textId="77777777"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1ACDC" w14:textId="77777777" w:rsidR="00000000" w:rsidRPr="002858A0" w:rsidRDefault="00000000">
            <w:pPr>
              <w:rPr>
                <w:rFonts w:ascii="Arial Narrow" w:hAnsi="Arial Narrow"/>
                <w:b/>
                <w:bCs/>
                <w:sz w:val="24"/>
              </w:rPr>
            </w:pPr>
            <w:r w:rsidRPr="002858A0">
              <w:rPr>
                <w:rFonts w:ascii="Arial Narrow" w:hAnsi="Arial Narrow" w:cs="Calibri"/>
                <w:b/>
                <w:bCs/>
                <w:sz w:val="24"/>
              </w:rPr>
              <w:t>Lone Working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1564E" w14:textId="4276D1B7" w:rsidR="00000000" w:rsidRPr="002858A0" w:rsidRDefault="00000000">
            <w:p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 w:cs="Calibri"/>
                <w:sz w:val="24"/>
              </w:rPr>
              <w:t>Committee members, employees, volunteers, hire</w:t>
            </w:r>
            <w:r w:rsidR="002858A0">
              <w:rPr>
                <w:rFonts w:ascii="Arial Narrow" w:hAnsi="Arial Narrow" w:cs="Calibri"/>
                <w:sz w:val="24"/>
              </w:rPr>
              <w:t>r’</w:t>
            </w:r>
            <w:r w:rsidRPr="002858A0">
              <w:rPr>
                <w:rFonts w:ascii="Arial Narrow" w:hAnsi="Arial Narrow" w:cs="Calibri"/>
                <w:sz w:val="24"/>
              </w:rPr>
              <w:t xml:space="preserve">s and members of the public may be at risk of being taken ill or injured and being undiscovered for a period of time 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90730" w14:textId="17856322" w:rsidR="006A17D9" w:rsidRDefault="0000000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/>
                <w:sz w:val="24"/>
              </w:rPr>
              <w:t>Lo</w:t>
            </w:r>
            <w:r w:rsidR="002858A0">
              <w:rPr>
                <w:rFonts w:ascii="Arial Narrow" w:hAnsi="Arial Narrow"/>
                <w:sz w:val="24"/>
              </w:rPr>
              <w:t>ne</w:t>
            </w:r>
            <w:r w:rsidRPr="002858A0">
              <w:rPr>
                <w:rFonts w:ascii="Arial Narrow" w:hAnsi="Arial Narrow"/>
                <w:sz w:val="24"/>
              </w:rPr>
              <w:t xml:space="preserve"> working should only be permitted when alternatives are unavailable</w:t>
            </w:r>
          </w:p>
          <w:p w14:paraId="0BF849CE" w14:textId="1014C5E8" w:rsidR="002858A0" w:rsidRDefault="0000000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/>
                <w:sz w:val="24"/>
              </w:rPr>
              <w:t xml:space="preserve">When booking the hall visit the lone worker must inform the </w:t>
            </w:r>
            <w:r w:rsidR="002858A0">
              <w:rPr>
                <w:rFonts w:ascii="Arial Narrow" w:hAnsi="Arial Narrow"/>
                <w:sz w:val="24"/>
              </w:rPr>
              <w:t>booking officer</w:t>
            </w:r>
            <w:r w:rsidRPr="002858A0">
              <w:rPr>
                <w:rFonts w:ascii="Arial Narrow" w:hAnsi="Arial Narrow"/>
                <w:sz w:val="24"/>
              </w:rPr>
              <w:t xml:space="preserve"> the type of work being undertaken, some work cannot be permitted for lone working</w:t>
            </w:r>
          </w:p>
          <w:p w14:paraId="1D6EFE3A" w14:textId="1AB56866" w:rsidR="002858A0" w:rsidRDefault="0000000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/>
                <w:sz w:val="24"/>
              </w:rPr>
              <w:t xml:space="preserve">Lone workers must inform the </w:t>
            </w:r>
            <w:r w:rsidR="002858A0">
              <w:rPr>
                <w:rFonts w:ascii="Arial Narrow" w:hAnsi="Arial Narrow"/>
                <w:sz w:val="24"/>
              </w:rPr>
              <w:t>booking officer</w:t>
            </w:r>
            <w:r w:rsidRPr="002858A0">
              <w:rPr>
                <w:rFonts w:ascii="Arial Narrow" w:hAnsi="Arial Narrow"/>
                <w:sz w:val="24"/>
              </w:rPr>
              <w:t xml:space="preserve"> or some other responsible person of some other responsible person</w:t>
            </w:r>
          </w:p>
          <w:p w14:paraId="30E01236" w14:textId="1094227E" w:rsidR="002858A0" w:rsidRDefault="0000000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/>
                <w:sz w:val="24"/>
              </w:rPr>
              <w:t>The lone worker must carry a mobile phone whilst lone working and it must be connected to Wi-Fi if the phone has no signal</w:t>
            </w:r>
          </w:p>
          <w:p w14:paraId="45A18CBE" w14:textId="6226287C" w:rsidR="002858A0" w:rsidRDefault="0000000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/>
                <w:sz w:val="24"/>
              </w:rPr>
              <w:t xml:space="preserve">The </w:t>
            </w:r>
            <w:r w:rsidR="002858A0">
              <w:rPr>
                <w:rFonts w:ascii="Arial Narrow" w:hAnsi="Arial Narrow"/>
                <w:sz w:val="24"/>
              </w:rPr>
              <w:t>booking officer</w:t>
            </w:r>
            <w:r w:rsidRPr="002858A0">
              <w:rPr>
                <w:rFonts w:ascii="Arial Narrow" w:hAnsi="Arial Narrow"/>
                <w:sz w:val="24"/>
              </w:rPr>
              <w:t xml:space="preserve"> or some other responsible person should contact the lone worker if the anticipated departure time passes without notification</w:t>
            </w:r>
          </w:p>
          <w:p w14:paraId="7CDAE51F" w14:textId="7338D854" w:rsidR="002858A0" w:rsidRDefault="0000000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/>
                <w:sz w:val="24"/>
              </w:rPr>
              <w:t xml:space="preserve">If unable to contact lone worker the </w:t>
            </w:r>
            <w:r w:rsidR="002858A0">
              <w:rPr>
                <w:rFonts w:ascii="Arial Narrow" w:hAnsi="Arial Narrow"/>
                <w:sz w:val="24"/>
              </w:rPr>
              <w:t>booking officer</w:t>
            </w:r>
            <w:r w:rsidRPr="002858A0">
              <w:rPr>
                <w:rFonts w:ascii="Arial Narrow" w:hAnsi="Arial Narrow"/>
                <w:sz w:val="24"/>
              </w:rPr>
              <w:t xml:space="preserve"> or some other responsible person should raise the alar</w:t>
            </w:r>
            <w:r w:rsidR="006A17D9">
              <w:rPr>
                <w:rFonts w:ascii="Arial Narrow" w:hAnsi="Arial Narrow"/>
                <w:sz w:val="24"/>
              </w:rPr>
              <w:t>m</w:t>
            </w:r>
          </w:p>
          <w:p w14:paraId="0C3F4D0E" w14:textId="5C29E499" w:rsidR="002858A0" w:rsidRDefault="0000000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/>
                <w:sz w:val="24"/>
              </w:rPr>
              <w:t xml:space="preserve">Lone workers must not work at heights, undertake electrical repairs/installations or use a naked flame whilst lone working. </w:t>
            </w:r>
            <w:r w:rsidR="002858A0">
              <w:rPr>
                <w:rFonts w:ascii="Arial Narrow" w:hAnsi="Arial Narrow"/>
                <w:sz w:val="24"/>
              </w:rPr>
              <w:t xml:space="preserve"> </w:t>
            </w:r>
            <w:r w:rsidRPr="002858A0">
              <w:rPr>
                <w:rFonts w:ascii="Arial Narrow" w:hAnsi="Arial Narrow"/>
                <w:sz w:val="24"/>
              </w:rPr>
              <w:t>Other exclusions may apply</w:t>
            </w:r>
          </w:p>
          <w:p w14:paraId="17B8B4C5" w14:textId="4E5B08DF" w:rsidR="00000000" w:rsidRPr="002858A0" w:rsidRDefault="002858A0" w:rsidP="002858A0">
            <w:pPr>
              <w:numPr>
                <w:ilvl w:val="0"/>
                <w:numId w:val="7"/>
              </w:numPr>
              <w:snapToGrid w:val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</w:t>
            </w:r>
            <w:r w:rsidR="00000000" w:rsidRPr="002858A0">
              <w:rPr>
                <w:rFonts w:ascii="Arial Narrow" w:hAnsi="Arial Narrow"/>
                <w:sz w:val="24"/>
              </w:rPr>
              <w:t xml:space="preserve">he hall lights must be on and the blinds open (to indicate occupancy &amp; give </w:t>
            </w:r>
            <w:r w:rsidRPr="002858A0">
              <w:rPr>
                <w:rFonts w:ascii="Arial Narrow" w:hAnsi="Arial Narrow"/>
                <w:sz w:val="24"/>
              </w:rPr>
              <w:t>visibility</w:t>
            </w:r>
            <w:r w:rsidR="00000000" w:rsidRPr="002858A0">
              <w:rPr>
                <w:rFonts w:ascii="Arial Narrow" w:hAnsi="Arial Narrow"/>
                <w:sz w:val="24"/>
              </w:rPr>
              <w:t>) even if the lone worker is not in the main hall, the main entrance doors must be unlocked to allow unhindered access in an emergency</w:t>
            </w:r>
          </w:p>
        </w:tc>
        <w:tc>
          <w:tcPr>
            <w:tcW w:w="2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BB984" w14:textId="7C950CD3" w:rsidR="00000000" w:rsidRPr="002858A0" w:rsidRDefault="00000000">
            <w:pPr>
              <w:snapToGrid w:val="0"/>
              <w:rPr>
                <w:rFonts w:ascii="Arial Narrow" w:hAnsi="Arial Narrow"/>
                <w:sz w:val="24"/>
              </w:rPr>
            </w:pPr>
            <w:r w:rsidRPr="002858A0">
              <w:rPr>
                <w:rFonts w:ascii="Arial Narrow" w:hAnsi="Arial Narrow" w:cs="Calibri"/>
                <w:sz w:val="24"/>
              </w:rPr>
              <w:t xml:space="preserve">On booking the hall the </w:t>
            </w:r>
            <w:r w:rsidR="002858A0">
              <w:rPr>
                <w:rFonts w:ascii="Arial Narrow" w:hAnsi="Arial Narrow" w:cs="Calibri"/>
                <w:sz w:val="24"/>
              </w:rPr>
              <w:t>booking officer</w:t>
            </w:r>
            <w:r w:rsidRPr="002858A0">
              <w:rPr>
                <w:rFonts w:ascii="Arial Narrow" w:hAnsi="Arial Narrow" w:cs="Calibri"/>
                <w:sz w:val="24"/>
              </w:rPr>
              <w:t xml:space="preserve"> needs to understand the task the lone worker is undertaking and agree that it is a permitted task. </w:t>
            </w:r>
            <w:r w:rsidR="002858A0">
              <w:rPr>
                <w:rFonts w:ascii="Arial Narrow" w:hAnsi="Arial Narrow" w:cs="Calibri"/>
                <w:sz w:val="24"/>
              </w:rPr>
              <w:t xml:space="preserve"> </w:t>
            </w:r>
            <w:r w:rsidRPr="002858A0">
              <w:rPr>
                <w:rFonts w:ascii="Arial Narrow" w:hAnsi="Arial Narrow" w:cs="Calibri"/>
                <w:sz w:val="24"/>
              </w:rPr>
              <w:t xml:space="preserve">For example cleaning, painting or setting up for an event. </w:t>
            </w:r>
            <w:r w:rsidR="002858A0">
              <w:rPr>
                <w:rFonts w:ascii="Arial Narrow" w:hAnsi="Arial Narrow" w:cs="Calibri"/>
                <w:sz w:val="24"/>
              </w:rPr>
              <w:t xml:space="preserve"> </w:t>
            </w:r>
            <w:r w:rsidRPr="002858A0">
              <w:rPr>
                <w:rFonts w:ascii="Arial Narrow" w:hAnsi="Arial Narrow" w:cs="Calibri"/>
                <w:sz w:val="24"/>
              </w:rPr>
              <w:t xml:space="preserve">Obtain the lone workers phone number or details of the other responsible person. </w:t>
            </w:r>
            <w:r w:rsidR="002858A0">
              <w:rPr>
                <w:rFonts w:ascii="Arial Narrow" w:hAnsi="Arial Narrow" w:cs="Calibri"/>
                <w:sz w:val="24"/>
              </w:rPr>
              <w:t xml:space="preserve"> </w:t>
            </w:r>
            <w:r w:rsidRPr="002858A0">
              <w:rPr>
                <w:rFonts w:ascii="Arial Narrow" w:hAnsi="Arial Narrow" w:cs="Calibri"/>
                <w:sz w:val="24"/>
              </w:rPr>
              <w:t xml:space="preserve">The </w:t>
            </w:r>
            <w:r w:rsidR="002858A0">
              <w:rPr>
                <w:rFonts w:ascii="Arial Narrow" w:hAnsi="Arial Narrow" w:cs="Calibri"/>
                <w:sz w:val="24"/>
              </w:rPr>
              <w:t>booking officer</w:t>
            </w:r>
            <w:r w:rsidRPr="002858A0">
              <w:rPr>
                <w:rFonts w:ascii="Arial Narrow" w:hAnsi="Arial Narrow" w:cs="Calibri"/>
                <w:sz w:val="24"/>
              </w:rPr>
              <w:t xml:space="preserve"> or some other responsible person should raise the alarm if unable to contact lone worker</w:t>
            </w:r>
            <w:r w:rsidR="002858A0">
              <w:rPr>
                <w:rFonts w:ascii="Arial Narrow" w:hAnsi="Arial Narrow" w:cs="Calibri"/>
                <w:sz w:val="24"/>
              </w:rPr>
              <w:t xml:space="preserve"> and p</w:t>
            </w:r>
            <w:r w:rsidRPr="002858A0">
              <w:rPr>
                <w:rFonts w:ascii="Arial Narrow" w:hAnsi="Arial Narrow" w:cs="Calibri"/>
                <w:sz w:val="24"/>
              </w:rPr>
              <w:t xml:space="preserve">rovide </w:t>
            </w:r>
            <w:r w:rsidR="002858A0">
              <w:rPr>
                <w:rFonts w:ascii="Arial Narrow" w:hAnsi="Arial Narrow" w:cs="Calibri"/>
                <w:sz w:val="24"/>
              </w:rPr>
              <w:t xml:space="preserve">an </w:t>
            </w:r>
            <w:r w:rsidRPr="002858A0">
              <w:rPr>
                <w:rFonts w:ascii="Arial Narrow" w:hAnsi="Arial Narrow" w:cs="Calibri"/>
                <w:sz w:val="24"/>
              </w:rPr>
              <w:t>email copy of risk assessment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CF87" w14:textId="77777777" w:rsidR="00000000" w:rsidRPr="002858A0" w:rsidRDefault="00000000">
            <w:pPr>
              <w:rPr>
                <w:rFonts w:ascii="Arial Narrow" w:hAnsi="Arial Narrow" w:cs="Calibri"/>
                <w:sz w:val="24"/>
              </w:rPr>
            </w:pPr>
            <w:r w:rsidRPr="002858A0">
              <w:rPr>
                <w:rFonts w:ascii="Arial Narrow" w:hAnsi="Arial Narrow" w:cs="Calibri"/>
                <w:sz w:val="24"/>
              </w:rPr>
              <w:t>Review annually</w:t>
            </w:r>
          </w:p>
          <w:p w14:paraId="6C0E27F6" w14:textId="77777777" w:rsidR="00000000" w:rsidRPr="002858A0" w:rsidRDefault="00000000">
            <w:pPr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F1DD" w14:textId="77777777" w:rsidR="00000000" w:rsidRPr="002858A0" w:rsidRDefault="00000000">
            <w:pPr>
              <w:snapToGrid w:val="0"/>
              <w:rPr>
                <w:rFonts w:ascii="Arial Narrow" w:hAnsi="Arial Narrow" w:cs="Calibri"/>
                <w:sz w:val="24"/>
              </w:rPr>
            </w:pP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A1E6" w14:textId="77777777" w:rsidR="00000000" w:rsidRPr="002858A0" w:rsidRDefault="00000000">
            <w:pPr>
              <w:snapToGrid w:val="0"/>
              <w:rPr>
                <w:rFonts w:ascii="Arial Narrow" w:hAnsi="Arial Narrow" w:cs="Calibri"/>
                <w:sz w:val="24"/>
              </w:rPr>
            </w:pPr>
          </w:p>
        </w:tc>
      </w:tr>
    </w:tbl>
    <w:p w14:paraId="2C8568E3" w14:textId="77777777" w:rsidR="00000000" w:rsidRPr="002858A0" w:rsidRDefault="00000000">
      <w:pPr>
        <w:rPr>
          <w:rFonts w:ascii="Arial Narrow" w:hAnsi="Arial Narrow" w:cs="Calibri"/>
          <w:sz w:val="24"/>
        </w:rPr>
      </w:pPr>
    </w:p>
    <w:p w14:paraId="15158D22" w14:textId="77777777" w:rsidR="003C15C5" w:rsidRPr="002858A0" w:rsidRDefault="003C15C5">
      <w:pPr>
        <w:rPr>
          <w:rFonts w:ascii="Arial Narrow" w:hAnsi="Arial Narrow"/>
          <w:sz w:val="24"/>
        </w:rPr>
      </w:pPr>
    </w:p>
    <w:sectPr w:rsidR="003C15C5" w:rsidRPr="002858A0">
      <w:headerReference w:type="default" r:id="rId7"/>
      <w:footerReference w:type="default" r:id="rId8"/>
      <w:pgSz w:w="16838" w:h="11906" w:orient="landscape"/>
      <w:pgMar w:top="1728" w:right="432" w:bottom="432" w:left="43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1F22" w14:textId="77777777" w:rsidR="003C15C5" w:rsidRDefault="003C15C5">
      <w:r>
        <w:separator/>
      </w:r>
    </w:p>
  </w:endnote>
  <w:endnote w:type="continuationSeparator" w:id="0">
    <w:p w14:paraId="25BE37AA" w14:textId="77777777" w:rsidR="003C15C5" w:rsidRDefault="003C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A5A6" w14:textId="40BD72B4" w:rsidR="00EF7B27" w:rsidRPr="00EF7B27" w:rsidRDefault="00EF7B27" w:rsidP="00EF7B27">
    <w:pPr>
      <w:pStyle w:val="Footer"/>
      <w:jc w:val="right"/>
      <w:rPr>
        <w:rFonts w:ascii="Arial Narrow" w:hAnsi="Arial Narrow"/>
        <w:sz w:val="20"/>
        <w:szCs w:val="20"/>
      </w:rPr>
    </w:pPr>
    <w:r w:rsidRPr="00EF7B27">
      <w:rPr>
        <w:rFonts w:ascii="Arial Narrow" w:hAnsi="Arial Narrow"/>
        <w:sz w:val="20"/>
        <w:szCs w:val="20"/>
      </w:rPr>
      <w:t>Update: 15/04/2024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31571" w14:textId="77777777" w:rsidR="003C15C5" w:rsidRDefault="003C15C5">
      <w:r>
        <w:separator/>
      </w:r>
    </w:p>
  </w:footnote>
  <w:footnote w:type="continuationSeparator" w:id="0">
    <w:p w14:paraId="48B042AC" w14:textId="77777777" w:rsidR="003C15C5" w:rsidRDefault="003C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26DC" w14:textId="0596092D" w:rsidR="002858A0" w:rsidRPr="002858A0" w:rsidRDefault="002858A0" w:rsidP="002858A0">
    <w:pPr>
      <w:jc w:val="center"/>
      <w:rPr>
        <w:rFonts w:ascii="Arial Narrow" w:hAnsi="Arial Narrow" w:cs="Calibri"/>
        <w:b/>
        <w:bCs/>
        <w:sz w:val="44"/>
        <w:szCs w:val="44"/>
      </w:rPr>
    </w:pPr>
    <w:r w:rsidRPr="002858A0">
      <w:rPr>
        <w:rFonts w:ascii="Arial Narrow" w:hAnsi="Arial Narrow" w:cs="Calibri"/>
        <w:b/>
        <w:bCs/>
        <w:sz w:val="44"/>
        <w:szCs w:val="44"/>
      </w:rPr>
      <w:t>Risk assessment and safe systems of work</w:t>
    </w:r>
    <w:r w:rsidR="00EF7B27">
      <w:rPr>
        <w:rFonts w:ascii="Arial Narrow" w:hAnsi="Arial Narrow" w:cs="Calibri"/>
        <w:b/>
        <w:bCs/>
        <w:sz w:val="44"/>
        <w:szCs w:val="44"/>
      </w:rPr>
      <w:t xml:space="preserve"> – </w:t>
    </w:r>
  </w:p>
  <w:p w14:paraId="5514A24F" w14:textId="18E0C1FB" w:rsidR="002858A0" w:rsidRPr="002858A0" w:rsidRDefault="00EF7B27" w:rsidP="002858A0">
    <w:pPr>
      <w:jc w:val="center"/>
      <w:rPr>
        <w:rFonts w:ascii="Arial Narrow" w:hAnsi="Arial Narrow" w:cs="Calibri"/>
        <w:b/>
        <w:bCs/>
        <w:sz w:val="44"/>
        <w:szCs w:val="44"/>
      </w:rPr>
    </w:pPr>
    <w:r>
      <w:rPr>
        <w:rFonts w:ascii="Arial Narrow" w:hAnsi="Arial Narrow" w:cs="Calibri"/>
        <w:b/>
        <w:bCs/>
        <w:sz w:val="44"/>
        <w:szCs w:val="44"/>
      </w:rPr>
      <w:t>f</w:t>
    </w:r>
    <w:r w:rsidR="002858A0" w:rsidRPr="002858A0">
      <w:rPr>
        <w:rFonts w:ascii="Arial Narrow" w:hAnsi="Arial Narrow" w:cs="Calibri"/>
        <w:b/>
        <w:bCs/>
        <w:sz w:val="44"/>
        <w:szCs w:val="44"/>
      </w:rPr>
      <w:t xml:space="preserve">or </w:t>
    </w:r>
    <w:r>
      <w:rPr>
        <w:rFonts w:ascii="Arial Narrow" w:hAnsi="Arial Narrow" w:cs="Calibri"/>
        <w:b/>
        <w:bCs/>
        <w:sz w:val="44"/>
        <w:szCs w:val="44"/>
      </w:rPr>
      <w:t>L</w:t>
    </w:r>
    <w:r w:rsidR="002858A0" w:rsidRPr="002858A0">
      <w:rPr>
        <w:rFonts w:ascii="Arial Narrow" w:hAnsi="Arial Narrow" w:cs="Calibri"/>
        <w:b/>
        <w:bCs/>
        <w:sz w:val="44"/>
        <w:szCs w:val="44"/>
      </w:rPr>
      <w:t xml:space="preserve">one </w:t>
    </w:r>
    <w:r>
      <w:rPr>
        <w:rFonts w:ascii="Arial Narrow" w:hAnsi="Arial Narrow" w:cs="Calibri"/>
        <w:b/>
        <w:bCs/>
        <w:sz w:val="44"/>
        <w:szCs w:val="44"/>
      </w:rPr>
      <w:t>W</w:t>
    </w:r>
    <w:r w:rsidR="002858A0" w:rsidRPr="002858A0">
      <w:rPr>
        <w:rFonts w:ascii="Arial Narrow" w:hAnsi="Arial Narrow" w:cs="Calibri"/>
        <w:b/>
        <w:bCs/>
        <w:sz w:val="44"/>
        <w:szCs w:val="44"/>
      </w:rPr>
      <w:t>orking</w:t>
    </w:r>
  </w:p>
  <w:p w14:paraId="675B65B0" w14:textId="4CE4012F" w:rsidR="00000000" w:rsidRPr="002858A0" w:rsidRDefault="002858A0" w:rsidP="002858A0">
    <w:pPr>
      <w:pStyle w:val="Header"/>
      <w:jc w:val="center"/>
      <w:rPr>
        <w:rFonts w:ascii="Arial Narrow" w:hAnsi="Arial Narrow"/>
        <w:b/>
        <w:bCs/>
        <w:sz w:val="44"/>
        <w:szCs w:val="44"/>
      </w:rPr>
    </w:pPr>
    <w:r w:rsidRPr="002858A0">
      <w:rPr>
        <w:rFonts w:ascii="Arial Narrow" w:hAnsi="Arial Narrow" w:cs="Calibri"/>
        <w:b/>
        <w:bCs/>
        <w:sz w:val="44"/>
        <w:szCs w:val="44"/>
      </w:rPr>
      <w:t>Bishop Sutton Village H</w:t>
    </w:r>
    <w:r>
      <w:rPr>
        <w:rFonts w:ascii="Arial Narrow" w:hAnsi="Arial Narrow" w:cs="Calibri"/>
        <w:b/>
        <w:bCs/>
        <w:sz w:val="44"/>
        <w:szCs w:val="44"/>
      </w:rPr>
      <w:t>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  <w:rPr>
        <w:rFonts w:ascii="Arial" w:hAnsi="Arial" w:cs="Arial" w:hint="default"/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68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Roman"/>
      <w:lvlText w:val="%1)"/>
      <w:lvlJc w:val="right"/>
      <w:pPr>
        <w:tabs>
          <w:tab w:val="num" w:pos="1656"/>
        </w:tabs>
        <w:ind w:left="1656" w:hanging="360"/>
      </w:pPr>
      <w:rPr>
        <w:rFonts w:ascii="Arial" w:hAnsi="Arial" w:cs="Arial" w:hint="default"/>
        <w:b w:val="0"/>
        <w:i w:val="0"/>
        <w:sz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041"/>
        </w:tabs>
        <w:ind w:left="2041" w:hanging="601"/>
      </w:pPr>
      <w:rPr>
        <w:rFonts w:hint="default"/>
      </w:rPr>
    </w:lvl>
    <w:lvl w:ilvl="6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601"/>
      </w:pPr>
      <w:rPr>
        <w:rFonts w:ascii="Symbol" w:hAnsi="Symbol" w:cs="Symbol" w:hint="default"/>
        <w:sz w:val="28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454"/>
      </w:pPr>
      <w:rPr>
        <w:rFonts w:ascii="Symbol" w:hAnsi="Symbol" w:cs="Symbol" w:hint="default"/>
      </w:rPr>
    </w:lvl>
  </w:abstractNum>
  <w:abstractNum w:abstractNumId="6" w15:restartNumberingAfterBreak="0">
    <w:nsid w:val="70E01BEB"/>
    <w:multiLevelType w:val="hybridMultilevel"/>
    <w:tmpl w:val="643E2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91743">
    <w:abstractNumId w:val="0"/>
  </w:num>
  <w:num w:numId="2" w16cid:durableId="1489321013">
    <w:abstractNumId w:val="1"/>
  </w:num>
  <w:num w:numId="3" w16cid:durableId="1789011669">
    <w:abstractNumId w:val="2"/>
  </w:num>
  <w:num w:numId="4" w16cid:durableId="1645963493">
    <w:abstractNumId w:val="3"/>
  </w:num>
  <w:num w:numId="5" w16cid:durableId="1505168024">
    <w:abstractNumId w:val="4"/>
  </w:num>
  <w:num w:numId="6" w16cid:durableId="517164782">
    <w:abstractNumId w:val="5"/>
  </w:num>
  <w:num w:numId="7" w16cid:durableId="1662999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A0"/>
    <w:rsid w:val="002858A0"/>
    <w:rsid w:val="003C15C5"/>
    <w:rsid w:val="006A17D9"/>
    <w:rsid w:val="00E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14B28A55"/>
  <w15:chartTrackingRefBased/>
  <w15:docId w15:val="{BED39196-7D69-BB49-85B0-D98B9A7B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18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aps/>
      <w:kern w:val="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 w:hint="default"/>
      <w:sz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z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5z6">
    <w:name w:val="WW8Num5z6"/>
    <w:rPr>
      <w:rFonts w:ascii="Symbol" w:hAnsi="Symbol" w:cs="Symbol" w:hint="default"/>
      <w:color w:val="auto"/>
      <w:sz w:val="24"/>
    </w:rPr>
  </w:style>
  <w:style w:type="character" w:customStyle="1" w:styleId="WW8Num5z7">
    <w:name w:val="WW8Num5z7"/>
    <w:rPr>
      <w:rFonts w:ascii="Symbol" w:hAnsi="Symbol" w:cs="Symbol" w:hint="default"/>
      <w:color w:val="auto"/>
      <w:sz w:val="28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1z0">
    <w:name w:val="WW8Num1z0"/>
    <w:rPr>
      <w:rFonts w:ascii="Arial" w:hAnsi="Arial" w:cs="Arial" w:hint="default"/>
      <w:sz w:val="24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4z6">
    <w:name w:val="WW8Num4z6"/>
    <w:rPr>
      <w:rFonts w:ascii="Symbol" w:hAnsi="Symbol" w:cs="Symbol" w:hint="default"/>
      <w:color w:val="auto"/>
      <w:sz w:val="24"/>
    </w:rPr>
  </w:style>
  <w:style w:type="character" w:customStyle="1" w:styleId="WW8Num4z7">
    <w:name w:val="WW8Num4z7"/>
    <w:rPr>
      <w:rFonts w:ascii="Symbol" w:hAnsi="Symbol" w:cs="Symbol" w:hint="default"/>
      <w:color w:val="auto"/>
      <w:sz w:val="28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1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ullet1">
    <w:name w:val="Bullet 1"/>
    <w:basedOn w:val="Normal"/>
    <w:pPr>
      <w:numPr>
        <w:numId w:val="3"/>
      </w:numPr>
    </w:pPr>
  </w:style>
  <w:style w:type="paragraph" w:customStyle="1" w:styleId="Bullet2">
    <w:name w:val="Bullet 2"/>
    <w:basedOn w:val="Bullet1"/>
    <w:pPr>
      <w:numPr>
        <w:numId w:val="6"/>
      </w:numPr>
    </w:pPr>
  </w:style>
  <w:style w:type="paragraph" w:customStyle="1" w:styleId="Number">
    <w:name w:val="Number"/>
    <w:basedOn w:val="Normal"/>
    <w:pPr>
      <w:numPr>
        <w:numId w:val="5"/>
      </w:numPr>
    </w:pPr>
  </w:style>
  <w:style w:type="paragraph" w:customStyle="1" w:styleId="Numbera">
    <w:name w:val="Number a)"/>
    <w:basedOn w:val="Normal"/>
    <w:pPr>
      <w:numPr>
        <w:numId w:val="2"/>
      </w:numPr>
    </w:pPr>
  </w:style>
  <w:style w:type="paragraph" w:customStyle="1" w:styleId="Numberi">
    <w:name w:val="Number i)"/>
    <w:basedOn w:val="Normal"/>
    <w:pPr>
      <w:numPr>
        <w:numId w:val="4"/>
      </w:numPr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1577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statement  of general policy and arrangements for:</vt:lpstr>
    </vt:vector>
  </TitlesOfParts>
  <Manager/>
  <Company>Bishop Sutton Village Hall</Company>
  <LinksUpToDate>false</LinksUpToDate>
  <CharactersWithSpaces>1881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Working</dc:title>
  <dc:subject/>
  <dc:creator>Derek Maltby</dc:creator>
  <cp:keywords/>
  <dc:description/>
  <cp:lastModifiedBy>Derek Maltby</cp:lastModifiedBy>
  <cp:revision>3</cp:revision>
  <cp:lastPrinted>1601-01-01T00:00:00Z</cp:lastPrinted>
  <dcterms:created xsi:type="dcterms:W3CDTF">2024-04-15T16:08:00Z</dcterms:created>
  <dcterms:modified xsi:type="dcterms:W3CDTF">2024-04-15T16:09:00Z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625770749</vt:i4>
  </property>
  <property fmtid="{D5CDD505-2E9C-101B-9397-08002B2CF9AE}" pid="3" name="_AuthorEmail">
    <vt:lpwstr>Roger.Hamilton@hse.gsi.gov.uk</vt:lpwstr>
  </property>
  <property fmtid="{D5CDD505-2E9C-101B-9397-08002B2CF9AE}" pid="4" name="_AuthorEmailDisplayName">
    <vt:lpwstr>Roger Hamilton</vt:lpwstr>
  </property>
  <property fmtid="{D5CDD505-2E9C-101B-9397-08002B2CF9AE}" pid="5" name="_EmailSubject">
    <vt:lpwstr>Fixes to Risk assessment policy document</vt:lpwstr>
  </property>
  <property fmtid="{D5CDD505-2E9C-101B-9397-08002B2CF9AE}" pid="6" name="_NewReviewCycle">
    <vt:lpwstr/>
  </property>
  <property fmtid="{D5CDD505-2E9C-101B-9397-08002B2CF9AE}" pid="7" name="_PreviousAdHocReviewCycleID">
    <vt:i4>1873386494</vt:i4>
  </property>
  <property fmtid="{D5CDD505-2E9C-101B-9397-08002B2CF9AE}" pid="8" name="_ReviewingToolsShownOnce">
    <vt:lpwstr/>
  </property>
</Properties>
</file>